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4"/>
        <w:bidi w:val="0"/>
        <w:spacing w:before="240" w:after="6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 xml:space="preserve">                                                                   </w:t>
      </w:r>
      <w:r>
        <w:rPr/>
        <w:drawing>
          <wp:inline distT="0" distB="0" distL="0" distR="0">
            <wp:extent cx="386715" cy="65786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left="0" w:right="0" w:hanging="0"/>
        <w:jc w:val="center"/>
        <w:rPr/>
      </w:pPr>
      <w:r>
        <w:rPr>
          <w:sz w:val="28"/>
        </w:rPr>
        <w:t>АДМИНИСТРАЦИЯ  МАЛОИМЫШСКОГО  СЕЛЬСОВЕТА</w:t>
      </w:r>
    </w:p>
    <w:p>
      <w:pPr>
        <w:pStyle w:val="Normal"/>
        <w:keepNext w:val="true"/>
        <w:numPr>
          <w:ilvl w:val="0"/>
          <w:numId w:val="0"/>
        </w:numPr>
        <w:bidi w:val="0"/>
        <w:ind w:left="0" w:right="0" w:hanging="0"/>
        <w:outlineLvl w:val="0"/>
        <w:rPr/>
      </w:pPr>
      <w:r>
        <w:rPr>
          <w:sz w:val="28"/>
          <w:szCs w:val="20"/>
        </w:rPr>
        <w:t xml:space="preserve">                   </w:t>
      </w:r>
      <w:r>
        <w:rPr>
          <w:sz w:val="28"/>
          <w:szCs w:val="20"/>
        </w:rPr>
        <w:t>КРАСНОЯРСКИЙ  КРАЙ</w:t>
      </w:r>
      <w:r>
        <w:rPr/>
        <w:t xml:space="preserve">  </w:t>
      </w:r>
      <w:r>
        <w:rPr>
          <w:sz w:val="28"/>
          <w:szCs w:val="28"/>
        </w:rPr>
        <w:t>УЖУРСКИЙ РАЙОН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44"/>
          <w:szCs w:val="44"/>
        </w:rPr>
        <w:t>ПОСТАНОВЛЕНИЕ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ind w:left="0" w:right="0" w:hanging="0"/>
        <w:rPr/>
      </w:pPr>
      <w:r>
        <w:rPr>
          <w:sz w:val="28"/>
          <w:szCs w:val="20"/>
        </w:rPr>
        <w:t>30</w:t>
      </w:r>
      <w:r>
        <w:rPr>
          <w:color w:val="000000"/>
          <w:sz w:val="28"/>
          <w:szCs w:val="20"/>
        </w:rPr>
        <w:t>.01.2023                                с. Малый Имыш                                            №</w:t>
      </w:r>
      <w:r>
        <w:rPr>
          <w:sz w:val="28"/>
          <w:szCs w:val="20"/>
        </w:rPr>
        <w:t xml:space="preserve"> 5</w:t>
      </w:r>
    </w:p>
    <w:p>
      <w:pPr>
        <w:pStyle w:val="Normal"/>
        <w:tabs>
          <w:tab w:val="clear" w:pos="708"/>
          <w:tab w:val="left" w:pos="0" w:leader="none"/>
        </w:tabs>
        <w:bidi w:val="0"/>
        <w:ind w:left="0" w:right="0" w:hanging="0"/>
        <w:rPr>
          <w:rFonts w:ascii="Times New Roman" w:hAnsi="Times New Roman"/>
          <w:color w:val="000000"/>
          <w:sz w:val="28"/>
          <w:szCs w:val="20"/>
        </w:rPr>
      </w:pPr>
      <w:r>
        <w:rPr>
          <w:color w:val="000000"/>
          <w:sz w:val="28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ind w:left="0" w:right="0" w:hanging="0"/>
        <w:rPr/>
      </w:pPr>
      <w:r>
        <w:rPr>
          <w:color w:val="1B1303"/>
          <w:sz w:val="28"/>
          <w:szCs w:val="28"/>
        </w:rPr>
        <w:t xml:space="preserve">Об утверждении Плана мероприятий по росту доходов, </w:t>
      </w:r>
    </w:p>
    <w:p>
      <w:pPr>
        <w:pStyle w:val="Normal"/>
        <w:tabs>
          <w:tab w:val="clear" w:pos="708"/>
          <w:tab w:val="left" w:pos="0" w:leader="none"/>
        </w:tabs>
        <w:bidi w:val="0"/>
        <w:ind w:left="0" w:right="0" w:hanging="0"/>
        <w:rPr/>
      </w:pPr>
      <w:r>
        <w:rPr>
          <w:color w:val="1B1303"/>
          <w:sz w:val="28"/>
          <w:szCs w:val="28"/>
        </w:rPr>
        <w:t xml:space="preserve">оптимизации расходов, совершенствованию </w:t>
      </w:r>
    </w:p>
    <w:p>
      <w:pPr>
        <w:pStyle w:val="Normal"/>
        <w:tabs>
          <w:tab w:val="clear" w:pos="708"/>
          <w:tab w:val="left" w:pos="0" w:leader="none"/>
        </w:tabs>
        <w:bidi w:val="0"/>
        <w:ind w:left="0" w:right="0" w:hanging="0"/>
        <w:rPr/>
      </w:pPr>
      <w:r>
        <w:rPr>
          <w:color w:val="1B1303"/>
          <w:sz w:val="28"/>
          <w:szCs w:val="28"/>
        </w:rPr>
        <w:t>межбюджетных отношений и долговой политики на 2023г</w:t>
      </w:r>
    </w:p>
    <w:p>
      <w:pPr>
        <w:pStyle w:val="Normal"/>
        <w:tabs>
          <w:tab w:val="clear" w:pos="708"/>
          <w:tab w:val="left" w:pos="0" w:leader="none"/>
        </w:tabs>
        <w:bidi w:val="0"/>
        <w:ind w:left="0" w:right="0" w:hanging="0"/>
        <w:rPr>
          <w:rFonts w:ascii="Times New Roman" w:hAnsi="Times New Roman"/>
          <w:color w:val="1B1303"/>
          <w:sz w:val="28"/>
          <w:szCs w:val="28"/>
        </w:rPr>
      </w:pPr>
      <w:r>
        <w:rPr>
          <w:color w:val="1B1303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ind w:left="0" w:right="0" w:hanging="0"/>
        <w:jc w:val="both"/>
        <w:rPr/>
      </w:pPr>
      <w:r>
        <w:rPr>
          <w:color w:val="000000"/>
          <w:sz w:val="28"/>
          <w:szCs w:val="28"/>
          <w:shd w:fill="FFFFFF" w:val="clear"/>
        </w:rPr>
        <w:t xml:space="preserve">     </w:t>
      </w:r>
      <w:r>
        <w:rPr>
          <w:color w:val="000000"/>
          <w:sz w:val="28"/>
          <w:szCs w:val="28"/>
          <w:shd w:fill="FFFFFF" w:val="clear"/>
        </w:rPr>
        <w:t>В целях повышения качества управления бюджетным процессом и выявления внутренних резервов экономии расходов и увеличения доходов бюджета, на основании Бюджетного кодекса Российской Федерации, руководствуясь Уставом Малоимышского сельсовета Ужурского района  Красноярского края</w:t>
      </w:r>
      <w:r>
        <w:rPr>
          <w:color w:val="1B1303"/>
          <w:sz w:val="28"/>
          <w:szCs w:val="28"/>
        </w:rPr>
        <w:t xml:space="preserve">, </w:t>
      </w:r>
      <w:r>
        <w:rPr>
          <w:b/>
          <w:color w:val="1B1303"/>
          <w:sz w:val="28"/>
          <w:szCs w:val="28"/>
        </w:rPr>
        <w:t>ПОСТАНОВЛЯЮ</w:t>
      </w:r>
      <w:r>
        <w:rPr>
          <w:color w:val="1B1303"/>
          <w:sz w:val="28"/>
          <w:szCs w:val="28"/>
        </w:rPr>
        <w:t>:</w:t>
      </w:r>
    </w:p>
    <w:p>
      <w:pPr>
        <w:pStyle w:val="Normal"/>
        <w:tabs>
          <w:tab w:val="clear" w:pos="708"/>
          <w:tab w:val="left" w:pos="0" w:leader="none"/>
        </w:tabs>
        <w:bidi w:val="0"/>
        <w:ind w:left="0" w:right="0" w:hanging="0"/>
        <w:jc w:val="both"/>
        <w:rPr/>
      </w:pPr>
      <w:r>
        <w:rPr>
          <w:color w:val="1B1303"/>
          <w:sz w:val="28"/>
          <w:szCs w:val="28"/>
        </w:rPr>
        <w:t>1. Утвердить план мероприятий по росту доходов, оптимизации расходов,</w:t>
      </w:r>
    </w:p>
    <w:p>
      <w:pPr>
        <w:pStyle w:val="Normal"/>
        <w:tabs>
          <w:tab w:val="clear" w:pos="708"/>
          <w:tab w:val="left" w:pos="0" w:leader="none"/>
        </w:tabs>
        <w:bidi w:val="0"/>
        <w:ind w:left="0" w:right="0" w:hanging="0"/>
        <w:jc w:val="both"/>
        <w:rPr/>
      </w:pPr>
      <w:r>
        <w:rPr>
          <w:color w:val="1B1303"/>
          <w:sz w:val="28"/>
          <w:szCs w:val="28"/>
        </w:rPr>
        <w:t>совершенствованию межбюджетных отношений и долговой политики Малоимышского сельсовета Ужурского района Красноярского края на 2023 год, согласно приложения № 1.</w:t>
      </w:r>
    </w:p>
    <w:p>
      <w:pPr>
        <w:pStyle w:val="Normal"/>
        <w:tabs>
          <w:tab w:val="clear" w:pos="708"/>
          <w:tab w:val="left" w:pos="0" w:leader="none"/>
        </w:tabs>
        <w:bidi w:val="0"/>
        <w:ind w:left="0" w:right="0" w:hanging="0"/>
        <w:jc w:val="both"/>
        <w:rPr/>
      </w:pPr>
      <w:r>
        <w:rPr>
          <w:color w:val="1B1303"/>
          <w:sz w:val="28"/>
          <w:szCs w:val="28"/>
        </w:rPr>
        <w:t>2. Контроль за исполнением настоящего постановления оставляю за собой.</w:t>
      </w:r>
    </w:p>
    <w:p>
      <w:pPr>
        <w:pStyle w:val="Normal"/>
        <w:tabs>
          <w:tab w:val="clear" w:pos="708"/>
          <w:tab w:val="left" w:pos="0" w:leader="none"/>
        </w:tabs>
        <w:bidi w:val="0"/>
        <w:ind w:left="0" w:right="0" w:hanging="0"/>
        <w:jc w:val="both"/>
        <w:rPr/>
      </w:pPr>
      <w:r>
        <w:rPr>
          <w:color w:val="1B1303"/>
          <w:sz w:val="28"/>
          <w:szCs w:val="28"/>
        </w:rPr>
        <w:t>3. Постановление вступает в силу со дня подписания.</w:t>
      </w:r>
    </w:p>
    <w:p>
      <w:pPr>
        <w:pStyle w:val="Normal"/>
        <w:tabs>
          <w:tab w:val="clear" w:pos="708"/>
          <w:tab w:val="left" w:pos="0" w:leader="none"/>
        </w:tabs>
        <w:bidi w:val="0"/>
        <w:ind w:left="0" w:right="0" w:hanging="0"/>
        <w:rPr>
          <w:rFonts w:ascii="Times New Roman" w:hAnsi="Times New Roman"/>
          <w:color w:val="1B1303"/>
          <w:sz w:val="28"/>
          <w:szCs w:val="28"/>
        </w:rPr>
      </w:pPr>
      <w:r>
        <w:rPr>
          <w:color w:val="1B1303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ind w:left="0" w:right="0" w:hanging="0"/>
        <w:rPr>
          <w:rFonts w:ascii="Times New Roman" w:hAnsi="Times New Roman"/>
          <w:color w:val="1B1303"/>
          <w:sz w:val="28"/>
          <w:szCs w:val="28"/>
        </w:rPr>
      </w:pPr>
      <w:r>
        <w:rPr>
          <w:color w:val="1B1303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ind w:left="0" w:right="0" w:hanging="0"/>
        <w:rPr/>
      </w:pPr>
      <w:r>
        <w:rPr>
          <w:color w:val="1B1303"/>
          <w:sz w:val="28"/>
          <w:szCs w:val="28"/>
        </w:rPr>
        <w:t>Глава сельсовета                                                                           И.Н. Новицкий</w:t>
      </w:r>
    </w:p>
    <w:p>
      <w:pPr>
        <w:pStyle w:val="Normal"/>
        <w:tabs>
          <w:tab w:val="clear" w:pos="708"/>
          <w:tab w:val="left" w:pos="0" w:leader="none"/>
        </w:tabs>
        <w:bidi w:val="0"/>
        <w:ind w:left="0" w:right="0" w:hanging="0"/>
        <w:rPr>
          <w:rFonts w:ascii="Times New Roman" w:hAnsi="Times New Roman"/>
          <w:color w:val="000000"/>
          <w:sz w:val="28"/>
          <w:szCs w:val="20"/>
        </w:rPr>
      </w:pPr>
      <w:r>
        <w:rPr>
          <w:color w:val="000000"/>
          <w:sz w:val="28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ind w:left="0" w:right="0" w:hanging="0"/>
        <w:rPr>
          <w:rFonts w:ascii="Times New Roman" w:hAnsi="Times New Roman"/>
          <w:color w:val="000000"/>
          <w:sz w:val="28"/>
          <w:szCs w:val="20"/>
        </w:rPr>
      </w:pPr>
      <w:r>
        <w:rPr>
          <w:color w:val="000000"/>
          <w:sz w:val="28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ind w:left="0" w:right="0" w:hanging="0"/>
        <w:rPr>
          <w:rFonts w:ascii="Times New Roman" w:hAnsi="Times New Roman"/>
          <w:color w:val="000000"/>
          <w:sz w:val="28"/>
          <w:szCs w:val="20"/>
        </w:rPr>
      </w:pPr>
      <w:r>
        <w:rPr>
          <w:color w:val="000000"/>
          <w:sz w:val="28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ind w:left="0" w:right="0" w:hanging="0"/>
        <w:rPr>
          <w:rFonts w:ascii="Times New Roman" w:hAnsi="Times New Roman"/>
          <w:color w:val="000000"/>
          <w:sz w:val="28"/>
          <w:szCs w:val="20"/>
        </w:rPr>
      </w:pPr>
      <w:r>
        <w:rPr>
          <w:color w:val="000000"/>
          <w:sz w:val="28"/>
          <w:szCs w:val="20"/>
        </w:rPr>
      </w:r>
    </w:p>
    <w:p>
      <w:pPr>
        <w:pStyle w:val="Normal"/>
        <w:bidi w:val="0"/>
        <w:ind w:left="5760" w:right="-5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5760" w:right="-5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5760" w:right="-5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5760" w:right="-5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5760" w:right="-5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5760" w:right="-5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5760" w:right="-5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5760" w:right="-5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5760" w:right="-5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5760" w:right="-5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5760" w:right="-5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5760" w:right="-5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5760" w:right="-5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5760" w:right="-5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5760" w:right="-5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5760" w:right="-5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5760" w:right="-5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w="11906" w:h="16838"/>
          <w:pgMar w:left="1701" w:right="849" w:gutter="0" w:header="0" w:top="540" w:footer="0" w:bottom="54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ind w:left="5760" w:right="-5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tbl>
      <w:tblPr>
        <w:tblW w:w="15466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4430"/>
        <w:gridCol w:w="1964"/>
        <w:gridCol w:w="1986"/>
        <w:gridCol w:w="1899"/>
        <w:gridCol w:w="1199"/>
        <w:gridCol w:w="198"/>
        <w:gridCol w:w="1039"/>
        <w:gridCol w:w="368"/>
        <w:gridCol w:w="1686"/>
      </w:tblGrid>
      <w:tr>
        <w:trPr>
          <w:trHeight w:val="1710" w:hRule="atLeast"/>
        </w:trPr>
        <w:tc>
          <w:tcPr>
            <w:tcW w:w="15464" w:type="dxa"/>
            <w:gridSpan w:val="10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right"/>
              <w:rPr/>
            </w:pPr>
            <w:r>
              <w:rPr>
                <w:bCs/>
                <w:color w:val="000000"/>
              </w:rPr>
              <w:t xml:space="preserve">приложение №1 к постановлению № 5 от </w:t>
            </w:r>
            <w:r>
              <w:rPr>
                <w:bCs/>
              </w:rPr>
              <w:t>30</w:t>
            </w:r>
            <w:r>
              <w:rPr>
                <w:bCs/>
                <w:color w:val="000000"/>
              </w:rPr>
              <w:t>.01.2023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</w:rPr>
              <w:t xml:space="preserve">План мероприятий по росту доходов, оптимизации расходов, совершенствованию межбюджетных отношений и долговой политики </w:t>
            </w:r>
            <w:r>
              <w:rPr/>
              <w:br/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Малоимышский сельсовет Ужурского района Красноярского края</w:t>
            </w:r>
            <w:r>
              <w:rPr/>
              <w:br/>
            </w:r>
            <w:r>
              <w:rPr>
                <w:color w:val="000000"/>
                <w:sz w:val="22"/>
                <w:szCs w:val="22"/>
              </w:rPr>
              <w:t xml:space="preserve">(наименование муниципального образования) </w:t>
            </w:r>
          </w:p>
        </w:tc>
      </w:tr>
      <w:tr>
        <w:trPr>
          <w:trHeight w:val="315" w:hRule="atLeast"/>
        </w:trPr>
        <w:tc>
          <w:tcPr>
            <w:tcW w:w="69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4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6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8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9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9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37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54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495" w:hRule="atLeast"/>
        </w:trPr>
        <w:tc>
          <w:tcPr>
            <w:tcW w:w="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443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6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9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Срок реализации</w:t>
            </w:r>
          </w:p>
        </w:tc>
        <w:tc>
          <w:tcPr>
            <w:tcW w:w="1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Целевой показатель</w:t>
            </w:r>
          </w:p>
        </w:tc>
        <w:tc>
          <w:tcPr>
            <w:tcW w:w="4490" w:type="dxa"/>
            <w:gridSpan w:val="5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Значение целевого показателя</w:t>
            </w:r>
          </w:p>
        </w:tc>
      </w:tr>
      <w:tr>
        <w:trPr>
          <w:trHeight w:val="360" w:hRule="atLeast"/>
        </w:trPr>
        <w:tc>
          <w:tcPr>
            <w:tcW w:w="69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4430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964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986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89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97" w:type="dxa"/>
            <w:gridSpan w:val="2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407" w:type="dxa"/>
            <w:gridSpan w:val="2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686" w:type="dxa"/>
            <w:tcBorders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430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64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6" w:type="dxa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9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9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0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154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</w:rPr>
              <w:t>1. Мероприятия по росту налоговых и неналоговых доходов</w:t>
            </w:r>
          </w:p>
        </w:tc>
      </w:tr>
      <w:tr>
        <w:trPr>
          <w:trHeight w:val="1759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1.6</w:t>
            </w:r>
          </w:p>
        </w:tc>
        <w:tc>
          <w:tcPr>
            <w:tcW w:w="44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color w:val="000000"/>
              </w:rPr>
              <w:t xml:space="preserve">Направление  уведомлений по перерасчету арендной платы земельных участков 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9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color w:val="000000"/>
              </w:rPr>
              <w:t>Администрация Малоимышского сельсовета</w:t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2 квартал 2023г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color w:val="000000"/>
              </w:rPr>
              <w:t>Количество шт/тыс.руб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5</w:t>
            </w:r>
          </w:p>
        </w:tc>
        <w:tc>
          <w:tcPr>
            <w:tcW w:w="14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5</w:t>
            </w:r>
          </w:p>
        </w:tc>
        <w:tc>
          <w:tcPr>
            <w:tcW w:w="16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5</w:t>
            </w:r>
          </w:p>
        </w:tc>
      </w:tr>
      <w:tr>
        <w:trPr>
          <w:trHeight w:val="157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1.7</w:t>
            </w:r>
          </w:p>
        </w:tc>
        <w:tc>
          <w:tcPr>
            <w:tcW w:w="44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/>
              <w:t>Проведение претензионно - исковой  работы по  муниципальным земельным участкам и объектам недвижимого  имущества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96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color w:val="000000"/>
              </w:rPr>
              <w:t>Ежеквартально при наличии просроченных платежей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color w:val="000000"/>
              </w:rPr>
              <w:t>Количество/шт./                               тыс. руб.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97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1.11</w:t>
            </w:r>
          </w:p>
        </w:tc>
        <w:tc>
          <w:tcPr>
            <w:tcW w:w="44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/>
              <w:t>Организация работы по актуализации сведений о земельных участках, не имеющих кадастровой стоимости ввиду отсутствия в ЕГРН сведений о категории земель, о виде разрешенного использования</w:t>
            </w:r>
          </w:p>
        </w:tc>
        <w:tc>
          <w:tcPr>
            <w:tcW w:w="196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color w:val="000000"/>
              </w:rPr>
              <w:t>В течении 2023 года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Количество/шт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3</w:t>
            </w:r>
          </w:p>
        </w:tc>
        <w:tc>
          <w:tcPr>
            <w:tcW w:w="14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3</w:t>
            </w:r>
          </w:p>
        </w:tc>
        <w:tc>
          <w:tcPr>
            <w:tcW w:w="16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3</w:t>
            </w:r>
          </w:p>
        </w:tc>
      </w:tr>
      <w:tr>
        <w:trPr>
          <w:trHeight w:val="1350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1.12.</w:t>
            </w:r>
          </w:p>
        </w:tc>
        <w:tc>
          <w:tcPr>
            <w:tcW w:w="44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/>
              <w:t xml:space="preserve">Уточнение сведений о земельных участках и иных объектах недвижимого имущества и их правообладателях для формирования полной и достоверной базы, передаваемой налоговым органом: (внесений в программу ФИАС) </w:t>
            </w:r>
          </w:p>
        </w:tc>
        <w:tc>
          <w:tcPr>
            <w:tcW w:w="196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color w:val="000000"/>
              </w:rPr>
              <w:t>Постоянно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color w:val="000000"/>
              </w:rPr>
              <w:t>Количество/шт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10</w:t>
            </w:r>
          </w:p>
        </w:tc>
        <w:tc>
          <w:tcPr>
            <w:tcW w:w="14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8</w:t>
            </w:r>
          </w:p>
        </w:tc>
        <w:tc>
          <w:tcPr>
            <w:tcW w:w="16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8</w:t>
            </w:r>
          </w:p>
        </w:tc>
      </w:tr>
      <w:tr>
        <w:trPr>
          <w:trHeight w:val="1350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1.13</w:t>
            </w:r>
          </w:p>
        </w:tc>
        <w:tc>
          <w:tcPr>
            <w:tcW w:w="44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/>
              <w:t>Проведение мероприятий по выявлению собственников земельных участков и недвижимого имущества и привлечение их к налогообложению, содействие в оформлении прав собственности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96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color w:val="000000"/>
              </w:rPr>
              <w:t>Постоянно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color w:val="000000"/>
              </w:rPr>
              <w:t>В течении 2023 года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color w:val="000000"/>
              </w:rPr>
              <w:t>Количество/шт.   тыс. рублей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1</w:t>
            </w:r>
          </w:p>
        </w:tc>
        <w:tc>
          <w:tcPr>
            <w:tcW w:w="14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1</w:t>
            </w:r>
          </w:p>
        </w:tc>
        <w:tc>
          <w:tcPr>
            <w:tcW w:w="16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1350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1.14</w:t>
            </w:r>
          </w:p>
        </w:tc>
        <w:tc>
          <w:tcPr>
            <w:tcW w:w="44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/>
              <w:t>Организация и проведение информационно-разъяснительной работы среди жителей района, направленной на обеспечение уплаты имущественных налогов физическими лицами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9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color w:val="000000"/>
              </w:rPr>
              <w:t>Постоянно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color w:val="000000"/>
              </w:rPr>
              <w:t xml:space="preserve">Количество/шт.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4</w:t>
            </w:r>
          </w:p>
        </w:tc>
        <w:tc>
          <w:tcPr>
            <w:tcW w:w="14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4</w:t>
            </w:r>
          </w:p>
        </w:tc>
        <w:tc>
          <w:tcPr>
            <w:tcW w:w="16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154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  <w:color w:val="000000"/>
              </w:rPr>
              <w:t>2. Мероприятия по оптимизации расходов бюджета</w:t>
            </w:r>
          </w:p>
        </w:tc>
      </w:tr>
      <w:tr>
        <w:trPr>
          <w:trHeight w:val="4522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2.6.</w:t>
            </w:r>
          </w:p>
        </w:tc>
        <w:tc>
          <w:tcPr>
            <w:tcW w:w="4430" w:type="dxa"/>
            <w:tcBorders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color w:val="000000"/>
              </w:rPr>
      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при заключении и исполнении муниципальных контрактов на закупку товаров, работ, услуг для обеспечения муниципальных нужд - стремление к экономии в ходе закупочных процедур при условии соблюдения качества и требований законодательства. Средства экономии направлять на покрытие дефицита бюджета или на выполнение новых принятых расходных обязательств </w:t>
            </w:r>
          </w:p>
        </w:tc>
        <w:tc>
          <w:tcPr>
            <w:tcW w:w="1964" w:type="dxa"/>
            <w:tcBorders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/>
              <w:t>администрации городского и сельских поселений</w:t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color w:val="000000"/>
              </w:rPr>
              <w:t>Ежеквартально в течение года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Соблюдено/не соблюдено/ тыс. рублей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2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225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2.9.</w:t>
            </w:r>
          </w:p>
        </w:tc>
        <w:tc>
          <w:tcPr>
            <w:tcW w:w="4430" w:type="dxa"/>
            <w:tcBorders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color w:val="000000"/>
              </w:rPr>
              <w:t xml:space="preserve">Выполнение условий заключенных  соглашений  с муниципальными образованиями  Ужурского района  о мерах по повышению эффективности использования бюджетных средств и увеличению поступлений налоговых и неналоговых доходов </w:t>
            </w:r>
            <w:r>
              <w:rPr/>
              <w:br/>
            </w:r>
            <w:r>
              <w:rPr>
                <w:color w:val="000000"/>
              </w:rPr>
              <w:t xml:space="preserve">местного бюджета </w:t>
            </w:r>
          </w:p>
        </w:tc>
        <w:tc>
          <w:tcPr>
            <w:tcW w:w="1964" w:type="dxa"/>
            <w:tcBorders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color w:val="000000"/>
              </w:rPr>
              <w:t>Администрации городского и сельских поселений</w:t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color w:val="000000"/>
              </w:rPr>
              <w:t>До 01.01.2024</w:t>
            </w: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Количество нарушений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2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20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69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6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9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9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37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54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 w:val="false"/>
        <w:bidi w:val="0"/>
        <w:ind w:left="5760" w:right="-5" w:hanging="0"/>
        <w:jc w:val="both"/>
        <w:rPr/>
      </w:pPr>
      <w:r>
        <w:rPr/>
      </w:r>
    </w:p>
    <w:sectPr>
      <w:type w:val="nextPage"/>
      <w:pgSz w:orient="landscape" w:w="16838" w:h="11906"/>
      <w:pgMar w:left="539" w:right="539" w:gutter="0" w:header="0" w:top="1701" w:footer="0" w:bottom="85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Cambria Math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FontStyle15">
    <w:name w:val="Font Style15"/>
    <w:basedOn w:val="DefaultParagraphFont"/>
    <w:qFormat/>
    <w:rPr>
      <w:rFonts w:ascii="Times New Roman" w:hAnsi="Times New Roman"/>
      <w:sz w:val="18"/>
      <w:szCs w:val="18"/>
    </w:rPr>
  </w:style>
  <w:style w:type="character" w:styleId="Style14">
    <w:name w:val="Интернет-ссылка"/>
    <w:basedOn w:val="DefaultParagraphFont"/>
    <w:rPr>
      <w:color w:val="0000FF"/>
      <w:u w:val="single"/>
    </w:rPr>
  </w:style>
  <w:style w:type="character" w:styleId="Style15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6">
    <w:name w:val="Название Знак"/>
    <w:basedOn w:val="DefaultParagraphFont"/>
    <w:qFormat/>
    <w:rPr>
      <w:rFonts w:ascii="Cambria" w:hAnsi="Cambria" w:eastAsia="Times New Roman"/>
      <w:b/>
      <w:bCs/>
      <w:kern w:val="2"/>
      <w:sz w:val="32"/>
      <w:szCs w:val="32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Times New Roman" w:hAnsi="Times New Roman" w:eastAsia="Cambria Math" w:cs="Times New Roman"/>
      <w:color w:val="auto"/>
      <w:kern w:val="2"/>
      <w:sz w:val="22"/>
      <w:szCs w:val="22"/>
      <w:lang w:val="ru-RU" w:eastAsia="ru-RU" w:bidi="ar-SA"/>
    </w:rPr>
  </w:style>
  <w:style w:type="paragraph" w:styleId="Style22">
    <w:name w:val="Прижатый влево"/>
    <w:basedOn w:val="Normal"/>
    <w:next w:val="Normal"/>
    <w:qFormat/>
    <w:pPr/>
    <w:rPr>
      <w:rFonts w:ascii="Arial" w:hAnsi="Arial"/>
      <w:sz w:val="20"/>
      <w:szCs w:val="20"/>
    </w:rPr>
  </w:style>
  <w:style w:type="paragraph" w:styleId="TableGrid">
    <w:name w:val="Table Grid"/>
    <w:basedOn w:val="NormalTable"/>
    <w:qFormat/>
    <w:pPr/>
    <w:rPr>
      <w:sz w:val="20"/>
      <w:szCs w:val="20"/>
    </w:rPr>
  </w:style>
  <w:style w:type="paragraph" w:styleId="ConsPlusTitle">
    <w:name w:val="ConsPlusTitle"/>
    <w:qFormat/>
    <w:pPr>
      <w:widowControl w:val="false"/>
      <w:bidi w:val="0"/>
      <w:jc w:val="left"/>
      <w:textAlignment w:val="auto"/>
    </w:pPr>
    <w:rPr>
      <w:rFonts w:ascii="Times New Roman" w:hAnsi="Times New Roman" w:eastAsia="Cambria Math" w:cs="Times New Roman"/>
      <w:b/>
      <w:bCs/>
      <w:color w:val="auto"/>
      <w:kern w:val="2"/>
      <w:sz w:val="24"/>
      <w:szCs w:val="24"/>
      <w:lang w:val="ru-RU" w:eastAsia="ru-RU" w:bidi="ar-SA"/>
    </w:rPr>
  </w:style>
  <w:style w:type="paragraph" w:styleId="Style23">
    <w:name w:val="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4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mbria" w:hAnsi="Cambria" w:eastAsia="Times New Roman"/>
      <w:b/>
      <w:bCs/>
      <w:kern w:val="2"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LibreOffice/7.3.1.3$Windows_X86_64 LibreOffice_project/a69ca51ded25f3eefd52d7bf9a5fad8c90b87951</Application>
  <AppVersion>15.0000</AppVersion>
  <Pages>4</Pages>
  <Words>461</Words>
  <Characters>3232</Characters>
  <CharactersWithSpaces>3909</CharactersWithSpaces>
  <Paragraphs>92</Paragraphs>
  <Company>AAMR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2016-04-18T16:02:00Z</dcterms:created>
  <dc:creator>Adm</dc:creator>
  <dc:description/>
  <dc:language>ru-RU</dc:language>
  <cp:lastModifiedBy/>
  <cp:lastPrinted>2020-11-24T09:12:00Z</cp:lastPrinted>
  <dcterms:modified xsi:type="dcterms:W3CDTF">2023-01-30T09:14:00Z</dcterms:modified>
  <cp:revision>21</cp:revision>
  <dc:subject/>
  <dc:title>Об         утверждении         Плана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UserMM</vt:lpwstr>
  </property>
</Properties>
</file>